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DDD" w:rsidRDefault="00A05DDD" w:rsidP="00A05DDD">
      <w:pPr>
        <w:pStyle w:val="a7"/>
        <w:spacing w:line="240" w:lineRule="exact"/>
        <w:jc w:val="left"/>
        <w:rPr>
          <w:rFonts w:ascii="微软雅黑" w:eastAsia="微软雅黑" w:hAnsi="微软雅黑" w:cs="宋体"/>
          <w:sz w:val="22"/>
          <w:szCs w:val="22"/>
        </w:rPr>
      </w:pPr>
    </w:p>
    <w:p w:rsidR="009044F3" w:rsidRPr="00A05DDD" w:rsidRDefault="009044F3" w:rsidP="00A05DDD">
      <w:pPr>
        <w:pStyle w:val="a7"/>
        <w:spacing w:line="600" w:lineRule="exact"/>
        <w:jc w:val="center"/>
        <w:rPr>
          <w:rFonts w:ascii="微软雅黑" w:eastAsia="微软雅黑" w:hAnsi="微软雅黑" w:cs="宋体"/>
          <w:b/>
          <w:bCs/>
          <w:color w:val="7030A0"/>
          <w:sz w:val="40"/>
          <w:szCs w:val="40"/>
        </w:rPr>
      </w:pPr>
      <w:r w:rsidRPr="00A05DDD">
        <w:rPr>
          <w:rFonts w:ascii="微软雅黑" w:eastAsia="微软雅黑" w:hAnsi="微软雅黑" w:cs="宋体" w:hint="eastAsia"/>
          <w:b/>
          <w:bCs/>
          <w:color w:val="7030A0"/>
          <w:sz w:val="40"/>
          <w:szCs w:val="40"/>
        </w:rPr>
        <w:t>最高人民法院</w:t>
      </w:r>
    </w:p>
    <w:p w:rsidR="009044F3" w:rsidRPr="00A05DDD" w:rsidRDefault="009044F3" w:rsidP="00A05DDD">
      <w:pPr>
        <w:pStyle w:val="a7"/>
        <w:spacing w:line="600" w:lineRule="exact"/>
        <w:jc w:val="center"/>
        <w:rPr>
          <w:rFonts w:ascii="微软雅黑" w:eastAsia="微软雅黑" w:hAnsi="微软雅黑" w:cs="宋体"/>
          <w:b/>
          <w:bCs/>
          <w:color w:val="7030A0"/>
          <w:sz w:val="40"/>
          <w:szCs w:val="40"/>
        </w:rPr>
      </w:pPr>
      <w:r w:rsidRPr="00A05DDD">
        <w:rPr>
          <w:rFonts w:ascii="微软雅黑" w:eastAsia="微软雅黑" w:hAnsi="微软雅黑" w:cs="宋体" w:hint="eastAsia"/>
          <w:b/>
          <w:bCs/>
          <w:color w:val="7030A0"/>
          <w:sz w:val="40"/>
          <w:szCs w:val="40"/>
        </w:rPr>
        <w:t>关于破产企业国有划拨土地使用权应否列入</w:t>
      </w:r>
    </w:p>
    <w:p w:rsidR="009044F3" w:rsidRPr="00A05DDD" w:rsidRDefault="009044F3" w:rsidP="00A05DDD">
      <w:pPr>
        <w:pStyle w:val="a7"/>
        <w:spacing w:line="600" w:lineRule="exact"/>
        <w:jc w:val="center"/>
        <w:rPr>
          <w:rFonts w:ascii="微软雅黑" w:eastAsia="微软雅黑" w:hAnsi="微软雅黑" w:cs="宋体"/>
          <w:b/>
          <w:bCs/>
          <w:color w:val="7030A0"/>
          <w:sz w:val="40"/>
          <w:szCs w:val="40"/>
        </w:rPr>
      </w:pPr>
      <w:r w:rsidRPr="00A05DDD">
        <w:rPr>
          <w:rFonts w:ascii="微软雅黑" w:eastAsia="微软雅黑" w:hAnsi="微软雅黑" w:cs="宋体" w:hint="eastAsia"/>
          <w:b/>
          <w:bCs/>
          <w:color w:val="7030A0"/>
          <w:sz w:val="40"/>
          <w:szCs w:val="40"/>
        </w:rPr>
        <w:t>破产财产等问题的批复</w:t>
      </w:r>
    </w:p>
    <w:p w:rsidR="00A05DDD" w:rsidRDefault="00A05DDD" w:rsidP="00A05DDD">
      <w:pPr>
        <w:pStyle w:val="a7"/>
        <w:spacing w:line="240" w:lineRule="exact"/>
        <w:jc w:val="center"/>
        <w:rPr>
          <w:rFonts w:ascii="微软雅黑" w:eastAsia="微软雅黑" w:hAnsi="微软雅黑" w:cs="宋体"/>
          <w:sz w:val="22"/>
          <w:szCs w:val="22"/>
        </w:rPr>
      </w:pPr>
    </w:p>
    <w:p w:rsidR="00A05DDD" w:rsidRDefault="00A05DDD" w:rsidP="00A05DDD">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A05DDD" w:rsidRDefault="00A05DDD" w:rsidP="00A05DDD">
      <w:pPr>
        <w:pStyle w:val="a7"/>
        <w:spacing w:line="240" w:lineRule="exact"/>
        <w:jc w:val="center"/>
        <w:rPr>
          <w:rFonts w:ascii="微软雅黑" w:eastAsia="微软雅黑" w:hAnsi="微软雅黑" w:cs="宋体"/>
          <w:sz w:val="22"/>
          <w:szCs w:val="22"/>
        </w:rPr>
      </w:pPr>
    </w:p>
    <w:p w:rsidR="009E1C10" w:rsidRDefault="009E1C10" w:rsidP="00A05DDD">
      <w:pPr>
        <w:pStyle w:val="a7"/>
        <w:spacing w:line="240" w:lineRule="exact"/>
        <w:jc w:val="center"/>
        <w:rPr>
          <w:rFonts w:ascii="微软雅黑" w:eastAsia="微软雅黑" w:hAnsi="微软雅黑" w:cs="宋体"/>
          <w:sz w:val="22"/>
          <w:szCs w:val="22"/>
        </w:rPr>
      </w:pPr>
      <w:r w:rsidRPr="009E1C10">
        <w:rPr>
          <w:rFonts w:ascii="微软雅黑" w:eastAsia="微软雅黑" w:hAnsi="微软雅黑" w:cs="宋体" w:hint="eastAsia"/>
          <w:sz w:val="22"/>
          <w:szCs w:val="22"/>
        </w:rPr>
        <w:t>法释〔2020〕18号 - 0</w:t>
      </w:r>
      <w:r>
        <w:rPr>
          <w:rFonts w:ascii="微软雅黑" w:eastAsia="微软雅黑" w:hAnsi="微软雅黑" w:cs="宋体" w:hint="eastAsia"/>
          <w:sz w:val="22"/>
          <w:szCs w:val="22"/>
        </w:rPr>
        <w:t>1</w:t>
      </w:r>
      <w:bookmarkStart w:id="0" w:name="_GoBack"/>
      <w:bookmarkEnd w:id="0"/>
    </w:p>
    <w:p w:rsidR="009E1C10" w:rsidRPr="009E1C10" w:rsidRDefault="009E1C10" w:rsidP="00A05DDD">
      <w:pPr>
        <w:pStyle w:val="a7"/>
        <w:spacing w:line="240" w:lineRule="exact"/>
        <w:jc w:val="center"/>
        <w:rPr>
          <w:rFonts w:ascii="微软雅黑" w:eastAsia="微软雅黑" w:hAnsi="微软雅黑" w:cs="宋体" w:hint="eastAsia"/>
          <w:sz w:val="22"/>
          <w:szCs w:val="22"/>
        </w:rPr>
      </w:pPr>
    </w:p>
    <w:p w:rsidR="009044F3" w:rsidRPr="00A05DDD" w:rsidRDefault="009044F3" w:rsidP="00A05DDD">
      <w:pPr>
        <w:pStyle w:val="a7"/>
        <w:spacing w:line="240" w:lineRule="exact"/>
        <w:ind w:leftChars="200" w:left="420" w:rightChars="200" w:right="420" w:firstLineChars="200" w:firstLine="420"/>
        <w:jc w:val="left"/>
        <w:rPr>
          <w:rFonts w:ascii="微软雅黑" w:eastAsia="微软雅黑" w:hAnsi="微软雅黑" w:cs="宋体"/>
        </w:rPr>
      </w:pPr>
      <w:r w:rsidRPr="00A05DDD">
        <w:rPr>
          <w:rFonts w:ascii="微软雅黑" w:eastAsia="微软雅黑" w:hAnsi="微软雅黑" w:cs="宋体" w:hint="eastAsia"/>
        </w:rPr>
        <w:t>（2002年10月11日最高人民法院审判委员会第1245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9044F3" w:rsidRPr="00A05DDD" w:rsidRDefault="009044F3" w:rsidP="00980A8C">
      <w:pPr>
        <w:pStyle w:val="a7"/>
        <w:spacing w:line="500" w:lineRule="exact"/>
        <w:rPr>
          <w:rFonts w:ascii="微软雅黑" w:eastAsia="微软雅黑" w:hAnsi="微软雅黑" w:cs="宋体"/>
          <w:sz w:val="22"/>
          <w:szCs w:val="22"/>
        </w:rPr>
      </w:pPr>
    </w:p>
    <w:p w:rsidR="009044F3" w:rsidRPr="009E1C10" w:rsidRDefault="009044F3" w:rsidP="00980A8C">
      <w:pPr>
        <w:pStyle w:val="a7"/>
        <w:spacing w:line="500" w:lineRule="exact"/>
        <w:rPr>
          <w:rFonts w:ascii="微软雅黑" w:eastAsia="微软雅黑" w:hAnsi="微软雅黑" w:cs="宋体"/>
          <w:sz w:val="24"/>
          <w:szCs w:val="24"/>
        </w:rPr>
      </w:pPr>
      <w:r w:rsidRPr="009E1C10">
        <w:rPr>
          <w:rFonts w:ascii="微软雅黑" w:eastAsia="微软雅黑" w:hAnsi="微软雅黑" w:cs="宋体" w:hint="eastAsia"/>
          <w:b/>
          <w:bCs/>
          <w:sz w:val="24"/>
          <w:szCs w:val="24"/>
        </w:rPr>
        <w:t>湖北省高级人民法院</w:t>
      </w:r>
      <w:r w:rsidRPr="009E1C10">
        <w:rPr>
          <w:rFonts w:ascii="微软雅黑" w:eastAsia="微软雅黑" w:hAnsi="微软雅黑" w:cs="宋体" w:hint="eastAsia"/>
          <w:sz w:val="24"/>
          <w:szCs w:val="24"/>
        </w:rPr>
        <w:t>：</w:t>
      </w:r>
    </w:p>
    <w:p w:rsidR="009044F3" w:rsidRPr="009E1C10" w:rsidRDefault="009044F3" w:rsidP="00980A8C">
      <w:pPr>
        <w:pStyle w:val="a7"/>
        <w:spacing w:line="500" w:lineRule="exact"/>
        <w:rPr>
          <w:rFonts w:ascii="微软雅黑" w:eastAsia="微软雅黑" w:hAnsi="微软雅黑" w:cs="宋体"/>
          <w:sz w:val="24"/>
          <w:szCs w:val="24"/>
        </w:rPr>
      </w:pPr>
      <w:r w:rsidRPr="009E1C10">
        <w:rPr>
          <w:rFonts w:ascii="微软雅黑" w:eastAsia="微软雅黑" w:hAnsi="微软雅黑" w:cs="宋体" w:hint="eastAsia"/>
          <w:sz w:val="24"/>
          <w:szCs w:val="24"/>
        </w:rPr>
        <w:t xml:space="preserve">　　你院鄂高法〔2002〕158号《关于破产企业国有划拨土地使用权应否列入破产财产以及有关抵押效力认定等问题的请示》收悉。经研究，答复如下：</w:t>
      </w:r>
    </w:p>
    <w:p w:rsidR="009044F3" w:rsidRPr="009E1C10" w:rsidRDefault="009044F3" w:rsidP="00980A8C">
      <w:pPr>
        <w:pStyle w:val="a7"/>
        <w:spacing w:line="500" w:lineRule="exact"/>
        <w:rPr>
          <w:rFonts w:ascii="微软雅黑" w:eastAsia="微软雅黑" w:hAnsi="微软雅黑" w:cs="宋体"/>
          <w:sz w:val="24"/>
          <w:szCs w:val="24"/>
        </w:rPr>
      </w:pPr>
      <w:r w:rsidRPr="009E1C10">
        <w:rPr>
          <w:rFonts w:ascii="微软雅黑" w:eastAsia="微软雅黑" w:hAnsi="微软雅黑" w:cs="宋体" w:hint="eastAsia"/>
          <w:sz w:val="24"/>
          <w:szCs w:val="24"/>
        </w:rPr>
        <w:t xml:space="preserve">　　一、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p>
    <w:p w:rsidR="009044F3" w:rsidRPr="009E1C10" w:rsidRDefault="009044F3" w:rsidP="00980A8C">
      <w:pPr>
        <w:pStyle w:val="a7"/>
        <w:spacing w:line="500" w:lineRule="exact"/>
        <w:rPr>
          <w:rFonts w:ascii="微软雅黑" w:eastAsia="微软雅黑" w:hAnsi="微软雅黑" w:cs="宋体"/>
          <w:sz w:val="24"/>
          <w:szCs w:val="24"/>
        </w:rPr>
      </w:pPr>
      <w:r w:rsidRPr="009E1C10">
        <w:rPr>
          <w:rFonts w:ascii="微软雅黑" w:eastAsia="微软雅黑" w:hAnsi="微软雅黑" w:cs="宋体" w:hint="eastAsia"/>
          <w:sz w:val="24"/>
          <w:szCs w:val="24"/>
        </w:rPr>
        <w:t xml:space="preserve">　　二、企业对其以划拨方式取得的国有土地使用权无处分权，以该土地使用权设定抵押，未经有审批权限的人民政府或土地行政管理部门批准的，不影响抵押合同效力；履行了法定的审批手续，并依法办理抵押登记的，</w:t>
      </w:r>
      <w:proofErr w:type="gramStart"/>
      <w:r w:rsidRPr="009E1C10">
        <w:rPr>
          <w:rFonts w:ascii="微软雅黑" w:eastAsia="微软雅黑" w:hAnsi="微软雅黑" w:cs="宋体" w:hint="eastAsia"/>
          <w:sz w:val="24"/>
          <w:szCs w:val="24"/>
        </w:rPr>
        <w:t>抵押权自登记</w:t>
      </w:r>
      <w:proofErr w:type="gramEnd"/>
      <w:r w:rsidRPr="009E1C10">
        <w:rPr>
          <w:rFonts w:ascii="微软雅黑" w:eastAsia="微软雅黑" w:hAnsi="微软雅黑" w:cs="宋体" w:hint="eastAsia"/>
          <w:sz w:val="24"/>
          <w:szCs w:val="24"/>
        </w:rPr>
        <w:t>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p>
    <w:p w:rsidR="009044F3" w:rsidRPr="009E1C10" w:rsidRDefault="009044F3" w:rsidP="00980A8C">
      <w:pPr>
        <w:pStyle w:val="a7"/>
        <w:spacing w:line="500" w:lineRule="exact"/>
        <w:rPr>
          <w:rFonts w:ascii="微软雅黑" w:eastAsia="微软雅黑" w:hAnsi="微软雅黑" w:cs="宋体"/>
          <w:sz w:val="24"/>
          <w:szCs w:val="24"/>
        </w:rPr>
      </w:pPr>
      <w:r w:rsidRPr="009E1C10">
        <w:rPr>
          <w:rFonts w:ascii="微软雅黑" w:eastAsia="微软雅黑" w:hAnsi="微软雅黑" w:cs="宋体" w:hint="eastAsia"/>
          <w:sz w:val="24"/>
          <w:szCs w:val="24"/>
        </w:rPr>
        <w:t xml:space="preserve">　　三、国有企业以关键设备、成套设备、建筑物设定抵押的，如无其他法定的无效情形，不应当仅以未经政府主管部门批准为由认定抵押合同无效。</w:t>
      </w:r>
    </w:p>
    <w:p w:rsidR="009044F3" w:rsidRPr="009E1C10" w:rsidRDefault="009044F3" w:rsidP="00980A8C">
      <w:pPr>
        <w:pStyle w:val="a7"/>
        <w:spacing w:line="500" w:lineRule="exact"/>
        <w:rPr>
          <w:rFonts w:ascii="微软雅黑" w:eastAsia="微软雅黑" w:hAnsi="微软雅黑" w:cs="宋体"/>
          <w:sz w:val="24"/>
          <w:szCs w:val="24"/>
        </w:rPr>
      </w:pPr>
      <w:r w:rsidRPr="009E1C10">
        <w:rPr>
          <w:rFonts w:ascii="微软雅黑" w:eastAsia="微软雅黑" w:hAnsi="微软雅黑" w:cs="宋体" w:hint="eastAsia"/>
          <w:sz w:val="24"/>
          <w:szCs w:val="24"/>
        </w:rPr>
        <w:t xml:space="preserve">　　本批复自公布之日起施行，正在审理或者尚未审理的案件，适用本批复，但对提起再审的判决、裁定已经发生法律效力的案件除外。</w:t>
      </w:r>
    </w:p>
    <w:p w:rsidR="005973CD" w:rsidRPr="009E1C10" w:rsidRDefault="009044F3" w:rsidP="00980A8C">
      <w:pPr>
        <w:pStyle w:val="a7"/>
        <w:spacing w:line="500" w:lineRule="exact"/>
        <w:rPr>
          <w:rFonts w:ascii="微软雅黑" w:eastAsia="微软雅黑" w:hAnsi="微软雅黑" w:cs="宋体"/>
          <w:sz w:val="24"/>
          <w:szCs w:val="24"/>
        </w:rPr>
      </w:pPr>
      <w:r w:rsidRPr="009E1C10">
        <w:rPr>
          <w:rFonts w:ascii="微软雅黑" w:eastAsia="微软雅黑" w:hAnsi="微软雅黑" w:cs="宋体" w:hint="eastAsia"/>
          <w:sz w:val="24"/>
          <w:szCs w:val="24"/>
        </w:rPr>
        <w:t xml:space="preserve">　　此复。</w:t>
      </w:r>
    </w:p>
    <w:sectPr w:rsidR="005973CD" w:rsidRPr="009E1C10" w:rsidSect="00A05DD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021" w:rsidRDefault="00860021" w:rsidP="009044F3">
      <w:r>
        <w:separator/>
      </w:r>
    </w:p>
  </w:endnote>
  <w:endnote w:type="continuationSeparator" w:id="0">
    <w:p w:rsidR="00860021" w:rsidRDefault="00860021" w:rsidP="0090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021" w:rsidRDefault="00860021" w:rsidP="009044F3">
      <w:r>
        <w:separator/>
      </w:r>
    </w:p>
  </w:footnote>
  <w:footnote w:type="continuationSeparator" w:id="0">
    <w:p w:rsidR="00860021" w:rsidRDefault="00860021" w:rsidP="0090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44F3"/>
    <w:rsid w:val="00047B1E"/>
    <w:rsid w:val="005973CD"/>
    <w:rsid w:val="00860021"/>
    <w:rsid w:val="009044F3"/>
    <w:rsid w:val="00980A8C"/>
    <w:rsid w:val="009E1C10"/>
    <w:rsid w:val="00A05DDD"/>
    <w:rsid w:val="00F0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9CA6A"/>
  <w15:docId w15:val="{6A439D10-201A-47FA-8A89-0C01C48B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44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044F3"/>
    <w:rPr>
      <w:sz w:val="18"/>
      <w:szCs w:val="18"/>
    </w:rPr>
  </w:style>
  <w:style w:type="paragraph" w:styleId="a5">
    <w:name w:val="footer"/>
    <w:basedOn w:val="a"/>
    <w:link w:val="a6"/>
    <w:uiPriority w:val="99"/>
    <w:semiHidden/>
    <w:unhideWhenUsed/>
    <w:rsid w:val="009044F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044F3"/>
    <w:rPr>
      <w:sz w:val="18"/>
      <w:szCs w:val="18"/>
    </w:rPr>
  </w:style>
  <w:style w:type="paragraph" w:styleId="a7">
    <w:name w:val="Plain Text"/>
    <w:basedOn w:val="a"/>
    <w:link w:val="a8"/>
    <w:uiPriority w:val="99"/>
    <w:rsid w:val="009044F3"/>
    <w:rPr>
      <w:rFonts w:ascii="宋体" w:eastAsia="宋体" w:hAnsi="Courier New" w:cs="Courier New"/>
      <w:szCs w:val="21"/>
    </w:rPr>
  </w:style>
  <w:style w:type="character" w:customStyle="1" w:styleId="a8">
    <w:name w:val="纯文本 字符"/>
    <w:basedOn w:val="a0"/>
    <w:link w:val="a7"/>
    <w:uiPriority w:val="99"/>
    <w:rsid w:val="009044F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2021-04-01T01:40:00Z</dcterms:created>
  <dcterms:modified xsi:type="dcterms:W3CDTF">2025-09-15T04:04:00Z</dcterms:modified>
</cp:coreProperties>
</file>